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252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395CA2" w:rsidRPr="00015733" w:rsidTr="00523E85">
        <w:trPr>
          <w:trHeight w:val="2779"/>
        </w:trPr>
        <w:tc>
          <w:tcPr>
            <w:tcW w:w="4362" w:type="dxa"/>
          </w:tcPr>
          <w:p w:rsidR="00395CA2" w:rsidRPr="00015733" w:rsidRDefault="00395CA2" w:rsidP="00523E85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015733">
              <w:rPr>
                <w:rFonts w:ascii="ER Bukinist Bashkir" w:hAnsi="ER Bukinist Bashkir"/>
                <w:sz w:val="24"/>
                <w:szCs w:val="24"/>
              </w:rPr>
              <w:t>Башšортостан</w:t>
            </w:r>
            <w:proofErr w:type="spellEnd"/>
            <w:r w:rsidRPr="00015733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015733">
              <w:rPr>
                <w:rFonts w:ascii="ER Bukinist Bashkir" w:hAnsi="ER Bukinist Bashkir"/>
                <w:sz w:val="24"/>
                <w:szCs w:val="24"/>
              </w:rPr>
              <w:t>Республика</w:t>
            </w:r>
            <w:proofErr w:type="gramStart"/>
            <w:r w:rsidRPr="00015733">
              <w:rPr>
                <w:rFonts w:ascii="ER Bukinist Bashkir" w:hAnsi="ER Bukinist Bashkir"/>
                <w:sz w:val="24"/>
                <w:szCs w:val="24"/>
              </w:rPr>
              <w:t>h</w:t>
            </w:r>
            <w:proofErr w:type="gramEnd"/>
            <w:r w:rsidRPr="00015733">
              <w:rPr>
                <w:rFonts w:ascii="ER Bukinist Bashkir" w:hAnsi="ER Bukinist Bashkir"/>
                <w:sz w:val="24"/>
                <w:szCs w:val="24"/>
              </w:rPr>
              <w:t>ы</w:t>
            </w:r>
            <w:proofErr w:type="spellEnd"/>
            <w:r w:rsidRPr="00015733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395CA2" w:rsidRPr="00015733" w:rsidRDefault="00395CA2" w:rsidP="00523E85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015733">
              <w:rPr>
                <w:rFonts w:ascii="ER Bukinist Bashkir" w:hAnsi="ER Bukinist Bashkir"/>
                <w:sz w:val="24"/>
                <w:szCs w:val="24"/>
              </w:rPr>
              <w:t>Мишк</w:t>
            </w:r>
            <w:proofErr w:type="spellEnd"/>
            <w:r w:rsidRPr="00015733">
              <w:rPr>
                <w:rFonts w:ascii="ER Bukinist Bashkir" w:hAnsi="ER Bukinist Bashkir"/>
                <w:sz w:val="24"/>
                <w:szCs w:val="24"/>
              </w:rPr>
              <w:t xml:space="preserve">º районы </w:t>
            </w:r>
          </w:p>
          <w:p w:rsidR="00395CA2" w:rsidRPr="00015733" w:rsidRDefault="00395CA2" w:rsidP="00523E85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015733">
              <w:rPr>
                <w:rFonts w:ascii="ER Bukinist Bashkir" w:hAnsi="ER Bukinist Bashkir"/>
                <w:sz w:val="24"/>
                <w:szCs w:val="24"/>
              </w:rPr>
              <w:t>муниципаль</w:t>
            </w:r>
            <w:proofErr w:type="spellEnd"/>
            <w:r w:rsidRPr="00015733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015733">
              <w:rPr>
                <w:rFonts w:ascii="ER Bukinist Bashkir" w:hAnsi="ER Bukinist Bashkir"/>
                <w:sz w:val="24"/>
                <w:szCs w:val="24"/>
              </w:rPr>
              <w:t>районыныœ</w:t>
            </w:r>
            <w:proofErr w:type="spellEnd"/>
            <w:r w:rsidRPr="00015733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395CA2" w:rsidRPr="00015733" w:rsidRDefault="00395CA2" w:rsidP="00523E85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015733">
              <w:rPr>
                <w:rFonts w:ascii="ER Bukinist Bashkir" w:hAnsi="ER Bukinist Bashkir"/>
                <w:sz w:val="24"/>
                <w:szCs w:val="24"/>
              </w:rPr>
              <w:t>Аšбулат</w:t>
            </w:r>
            <w:proofErr w:type="spellEnd"/>
            <w:r w:rsidRPr="00015733">
              <w:rPr>
                <w:rFonts w:ascii="ER Bukinist Bashkir" w:hAnsi="ER Bukinist Bashkir"/>
                <w:sz w:val="24"/>
                <w:szCs w:val="24"/>
              </w:rPr>
              <w:t xml:space="preserve"> аулы советы </w:t>
            </w:r>
          </w:p>
          <w:p w:rsidR="00395CA2" w:rsidRPr="00015733" w:rsidRDefault="00395CA2" w:rsidP="00523E85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015733">
              <w:rPr>
                <w:rFonts w:ascii="ER Bukinist Bashkir" w:hAnsi="ER Bukinist Bashkir"/>
                <w:sz w:val="24"/>
                <w:szCs w:val="24"/>
              </w:rPr>
              <w:t>ауыл</w:t>
            </w:r>
            <w:proofErr w:type="spellEnd"/>
            <w:r w:rsidRPr="00015733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015733">
              <w:rPr>
                <w:rFonts w:ascii="ER Bukinist Bashkir" w:hAnsi="ER Bukinist Bashkir"/>
                <w:sz w:val="24"/>
                <w:szCs w:val="24"/>
              </w:rPr>
              <w:t>билºìºhå</w:t>
            </w:r>
            <w:proofErr w:type="spellEnd"/>
            <w:r w:rsidRPr="00015733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395CA2" w:rsidRPr="00015733" w:rsidRDefault="00395CA2" w:rsidP="00523E85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015733">
              <w:rPr>
                <w:rFonts w:ascii="ER Bukinist Bashkir" w:hAnsi="ER Bukinist Bashkir"/>
                <w:sz w:val="24"/>
                <w:szCs w:val="24"/>
              </w:rPr>
              <w:t xml:space="preserve">Советы </w:t>
            </w:r>
          </w:p>
          <w:p w:rsidR="00395CA2" w:rsidRPr="00015733" w:rsidRDefault="00395CA2" w:rsidP="00523E85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046" w:type="dxa"/>
            <w:hideMark/>
          </w:tcPr>
          <w:p w:rsidR="00395CA2" w:rsidRPr="00015733" w:rsidRDefault="00395CA2" w:rsidP="00523E85">
            <w:pPr>
              <w:ind w:right="-107"/>
              <w:rPr>
                <w:sz w:val="24"/>
                <w:szCs w:val="24"/>
              </w:rPr>
            </w:pPr>
            <w:r w:rsidRPr="00015733">
              <w:rPr>
                <w:noProof/>
                <w:sz w:val="24"/>
                <w:szCs w:val="24"/>
              </w:rPr>
              <w:drawing>
                <wp:inline distT="0" distB="0" distL="0" distR="0" wp14:anchorId="01A54480" wp14:editId="3C41965A">
                  <wp:extent cx="1155700" cy="13716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95CA2" w:rsidRPr="00015733" w:rsidRDefault="00395CA2" w:rsidP="00523E85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015733">
              <w:rPr>
                <w:rFonts w:ascii="ER Bukinist Bashkir" w:hAnsi="ER Bukinist Bashkir"/>
                <w:sz w:val="24"/>
                <w:szCs w:val="24"/>
              </w:rPr>
              <w:t xml:space="preserve">Совет </w:t>
            </w:r>
          </w:p>
          <w:p w:rsidR="00395CA2" w:rsidRPr="00015733" w:rsidRDefault="00395CA2" w:rsidP="00523E85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015733">
              <w:rPr>
                <w:rFonts w:ascii="ER Bukinist Bashkir" w:hAnsi="ER Bukinist Bashkir"/>
                <w:sz w:val="24"/>
                <w:szCs w:val="24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395CA2" w:rsidRPr="00015733" w:rsidRDefault="00395CA2" w:rsidP="00523E85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015733">
              <w:rPr>
                <w:rFonts w:ascii="ER Bukinist Bashkir" w:hAnsi="ER Bukinist Bashkir"/>
                <w:sz w:val="24"/>
                <w:szCs w:val="24"/>
              </w:rPr>
              <w:t>Республики Башкортостан</w:t>
            </w:r>
          </w:p>
          <w:p w:rsidR="00395CA2" w:rsidRPr="00015733" w:rsidRDefault="00395CA2" w:rsidP="00523E85">
            <w:pPr>
              <w:rPr>
                <w:sz w:val="24"/>
                <w:szCs w:val="24"/>
              </w:rPr>
            </w:pPr>
          </w:p>
        </w:tc>
      </w:tr>
    </w:tbl>
    <w:p w:rsidR="00395CA2" w:rsidRPr="00015733" w:rsidRDefault="00395CA2" w:rsidP="00395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3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D2D8E6" wp14:editId="34D7EC50">
            <wp:simplePos x="0" y="0"/>
            <wp:positionH relativeFrom="column">
              <wp:posOffset>-613410</wp:posOffset>
            </wp:positionH>
            <wp:positionV relativeFrom="paragraph">
              <wp:posOffset>1280160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573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     ŠАРАР                                                     </w:t>
      </w:r>
      <w:r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 </w:t>
      </w:r>
      <w:r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</w:t>
      </w:r>
      <w:r w:rsidRPr="0001573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РЕШЕНИЕ</w:t>
      </w:r>
    </w:p>
    <w:p w:rsidR="00395CA2" w:rsidRDefault="00395CA2" w:rsidP="00395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A2" w:rsidRPr="00395CA2" w:rsidRDefault="00395CA2" w:rsidP="00395CA2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39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апрель </w:t>
      </w:r>
      <w:r w:rsidRPr="0039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proofErr w:type="spellStart"/>
      <w:r w:rsidRPr="00395CA2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39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Pr="0039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</w:t>
      </w:r>
      <w:r w:rsidRPr="0039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апреля </w:t>
      </w:r>
      <w:r w:rsidRPr="00395CA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p w:rsidR="00395CA2" w:rsidRPr="00015733" w:rsidRDefault="00395CA2" w:rsidP="00395CA2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395CA2" w:rsidRPr="00015733" w:rsidRDefault="00395CA2" w:rsidP="00395CA2">
      <w:pPr>
        <w:tabs>
          <w:tab w:val="left" w:pos="360"/>
          <w:tab w:val="left" w:pos="5760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и перспективах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в сельском поселении Акбулатовский сельсовет </w:t>
      </w:r>
    </w:p>
    <w:p w:rsidR="00395CA2" w:rsidRPr="00015733" w:rsidRDefault="00395CA2" w:rsidP="00395CA2">
      <w:pPr>
        <w:tabs>
          <w:tab w:val="left" w:pos="360"/>
          <w:tab w:val="left" w:pos="5760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CA2" w:rsidRPr="00015733" w:rsidRDefault="00395CA2" w:rsidP="00395CA2">
      <w:pPr>
        <w:tabs>
          <w:tab w:val="left" w:pos="360"/>
          <w:tab w:val="left" w:pos="576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главы сельского поселения, Совет отметил, что на территории сельского поселения зарегистрированы 2 КФХ. Все КФХ оформили инициативные и активные люди из местного населения. Всего фермерами арендована пашня 859,38 га. Всего для посевов используется пашня на площади 2059,38 га. В ЛПХ идет сокращение поголовья скота из-за низких цен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продукцию. Исходя из вышеизложенного, Совет сельского поселения Акбулатовский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Мишкинский район Республики Башкортостан</w:t>
      </w: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proofErr w:type="gramStart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95CA2" w:rsidRPr="00015733" w:rsidRDefault="00395CA2" w:rsidP="00395C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Акбулатовский сельсовет муниципального района Мишкинский район принять к сведению.</w:t>
      </w:r>
    </w:p>
    <w:p w:rsidR="00395CA2" w:rsidRPr="00015733" w:rsidRDefault="00395CA2" w:rsidP="00395C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КФХ:</w:t>
      </w:r>
    </w:p>
    <w:p w:rsidR="00395CA2" w:rsidRPr="00015733" w:rsidRDefault="00395CA2" w:rsidP="00395C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уменьшать поголовье скота;</w:t>
      </w:r>
    </w:p>
    <w:p w:rsidR="00395CA2" w:rsidRPr="00015733" w:rsidRDefault="00395CA2" w:rsidP="00395C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посевные площади за счет не использованных земель;</w:t>
      </w:r>
    </w:p>
    <w:p w:rsidR="00395CA2" w:rsidRPr="00015733" w:rsidRDefault="00395CA2" w:rsidP="00395C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 посев не качественными семенами;</w:t>
      </w:r>
    </w:p>
    <w:p w:rsidR="00395CA2" w:rsidRPr="00015733" w:rsidRDefault="00395CA2" w:rsidP="00395C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оформлять выделенные земельные участки через </w:t>
      </w:r>
      <w:proofErr w:type="gramStart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proofErr w:type="gramEnd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CA2" w:rsidRPr="00015733" w:rsidRDefault="00395CA2" w:rsidP="00395C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данного решения возложить на постоянную комиссию по развитию предпринимательства, земельным вопросам, благоустройству и экологии. </w:t>
      </w:r>
    </w:p>
    <w:p w:rsidR="00395CA2" w:rsidRPr="00015733" w:rsidRDefault="00395CA2" w:rsidP="00395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A2" w:rsidRPr="00015733" w:rsidRDefault="00395CA2" w:rsidP="00395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A2" w:rsidRPr="00015733" w:rsidRDefault="00395CA2" w:rsidP="00395C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Андреева</w:t>
      </w: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CA2" w:rsidRPr="00015733" w:rsidRDefault="00395CA2" w:rsidP="00395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A2" w:rsidRPr="00015733" w:rsidRDefault="00395CA2" w:rsidP="00395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A2" w:rsidRPr="00015733" w:rsidRDefault="00395CA2" w:rsidP="00395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A2" w:rsidRPr="00015733" w:rsidRDefault="00395CA2" w:rsidP="00395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A2" w:rsidRPr="00015733" w:rsidRDefault="00395CA2" w:rsidP="00395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95CA2" w:rsidRPr="00015733" w:rsidRDefault="00395CA2" w:rsidP="0039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состоянии и перспективах развития агропромышленного комплекса в Сельском поселении Акбулатовский сельсовет</w:t>
      </w:r>
    </w:p>
    <w:p w:rsidR="00395CA2" w:rsidRPr="00015733" w:rsidRDefault="00395CA2" w:rsidP="00395C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(Доклад главы сельского поселения Акбулат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овский сельсовет Ю.В. Андреевой</w:t>
      </w:r>
      <w:r w:rsidRPr="00015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95CA2" w:rsidRPr="00015733" w:rsidRDefault="00395CA2" w:rsidP="00395C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5CA2" w:rsidRPr="00015733" w:rsidRDefault="00395CA2" w:rsidP="00395CA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 и приглашенные!</w:t>
      </w:r>
    </w:p>
    <w:p w:rsidR="00395CA2" w:rsidRPr="00015733" w:rsidRDefault="00395CA2" w:rsidP="00395CA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Акбулатовский сельсовет зарегистрированы 2 КФХ - Айметов Г.В., </w:t>
      </w:r>
      <w:proofErr w:type="spellStart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Мурзанаева</w:t>
      </w:r>
      <w:proofErr w:type="spellEnd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1 КФХ зарегистрирован в Мишкинском сельсовете - </w:t>
      </w:r>
      <w:proofErr w:type="spellStart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Акбатыров</w:t>
      </w:r>
      <w:proofErr w:type="spellEnd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земли арендует на территории нашего поселения.</w:t>
      </w:r>
      <w:proofErr w:type="gramEnd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фермерами арендуется пашня площадью 859,38га. Раньше работал филиал «</w:t>
      </w:r>
      <w:proofErr w:type="spellStart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Бирское</w:t>
      </w:r>
      <w:proofErr w:type="spellEnd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МТС», ими арендовалась пашня на площади 1200 га. Общая площадь используемой пашни 2059,38 га. Но филиал «</w:t>
      </w:r>
      <w:proofErr w:type="spellStart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Бирское</w:t>
      </w:r>
      <w:proofErr w:type="spellEnd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МТС» отказывается обрабатывать наши поля, указывая причиной свою загруженность, нехватку рабочей силы для обработки техники. С 2013 года действует программа </w:t>
      </w:r>
      <w:proofErr w:type="gramStart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 поддержки</w:t>
      </w:r>
      <w:proofErr w:type="gramEnd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субсидированию посевных площадей, 382 рубля на 1 га посева с учетом на оформленные земельные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стки в аренду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земледелия на нашей территории не из </w:t>
      </w:r>
      <w:proofErr w:type="gramStart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Засеваются некондиционными семенами, удобрения не применяют, нарушаются агротехнические приемы. Последствия - низкий урожай зерновых. Фермерам надо обратить внимание на эти недостатки и учесть на будущее. В этом году планируется посев зерновых на паевых землях более 40 га. В будущем думаем, земля будет востребована. Сельхозтехника у фермеров устаревшая. Если заниматься земледелием, то надо обновлять прицепные агрегаты: сельхозорудия, сеялки и т.д. Для получения хорошего урожая нужно применять зяблевую вспашку. Это залог хорошего урожая. Для посева использовать кондиционные семена. Применять севооборот.</w:t>
      </w:r>
    </w:p>
    <w:p w:rsidR="00395CA2" w:rsidRPr="00015733" w:rsidRDefault="00395CA2" w:rsidP="00395CA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395CA2" w:rsidRPr="00015733" w:rsidRDefault="00395CA2" w:rsidP="00395C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CA2" w:rsidRDefault="00395CA2" w:rsidP="00395CA2"/>
    <w:p w:rsidR="00395CA2" w:rsidRDefault="00395CA2" w:rsidP="00395CA2"/>
    <w:p w:rsidR="004258D4" w:rsidRDefault="004258D4"/>
    <w:sectPr w:rsidR="0042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19"/>
    <w:rsid w:val="00395CA2"/>
    <w:rsid w:val="004258D4"/>
    <w:rsid w:val="00D411EE"/>
    <w:rsid w:val="00DF6744"/>
    <w:rsid w:val="00F7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dcterms:created xsi:type="dcterms:W3CDTF">2020-06-19T04:49:00Z</dcterms:created>
  <dcterms:modified xsi:type="dcterms:W3CDTF">2020-06-19T04:50:00Z</dcterms:modified>
</cp:coreProperties>
</file>